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1A55" w14:textId="159C62E2" w:rsidR="00A93453" w:rsidRPr="009B7993" w:rsidRDefault="009B7993">
      <w:pPr>
        <w:pStyle w:val="Heading1"/>
        <w:spacing w:after="193"/>
        <w:ind w:left="-5"/>
        <w:rPr>
          <w:sz w:val="40"/>
          <w:szCs w:val="40"/>
        </w:rPr>
      </w:pPr>
      <w:r w:rsidRPr="009B7993">
        <w:rPr>
          <w:sz w:val="40"/>
          <w:szCs w:val="40"/>
        </w:rPr>
        <w:t xml:space="preserve">Azure </w:t>
      </w:r>
      <w:r w:rsidRPr="009B7993">
        <w:rPr>
          <w:sz w:val="40"/>
          <w:szCs w:val="40"/>
        </w:rPr>
        <w:t>Subnet Design for LZ</w:t>
      </w:r>
    </w:p>
    <w:p w14:paraId="7932F888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Core Principle</w:t>
      </w:r>
    </w:p>
    <w:p w14:paraId="32CECA75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33756873" w14:textId="49592D7F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 xml:space="preserve">Subnets are security, routing, and operational boundaries, </w:t>
      </w:r>
      <w:r w:rsidRPr="009B7993">
        <w:rPr>
          <w:sz w:val="24"/>
        </w:rPr>
        <w:t>not just IP containers. If security, routing, scale, or lifecycle differs, create a new subnet.</w:t>
      </w:r>
    </w:p>
    <w:p w14:paraId="3A34E51C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Purpose-Driven Subnet Design</w:t>
      </w:r>
    </w:p>
    <w:p w14:paraId="3B4B4B5E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1A463B24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Design subnets by function: workloads, shared services, security appliances, and platform services. One subnet should serve one clear responsibility.</w:t>
      </w:r>
    </w:p>
    <w:p w14:paraId="135790FF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Address Space Planning</w:t>
      </w:r>
    </w:p>
    <w:p w14:paraId="0D262F42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1201B701" w14:textId="77777777" w:rsidR="009B7993" w:rsidRPr="009B7993" w:rsidRDefault="009B7993">
      <w:pPr>
        <w:ind w:left="-5"/>
        <w:rPr>
          <w:sz w:val="24"/>
        </w:rPr>
      </w:pPr>
      <w:r w:rsidRPr="009B7993">
        <w:rPr>
          <w:sz w:val="24"/>
        </w:rPr>
        <w:t>Use RFC1918 address space only (10/8 preferred). Allocate large VNETs</w:t>
      </w:r>
      <w:r w:rsidRPr="009B7993">
        <w:rPr>
          <w:sz w:val="24"/>
        </w:rPr>
        <w:t xml:space="preserve">, carve right-sized subnets, and leave 25–40% growth headroom. </w:t>
      </w:r>
    </w:p>
    <w:p w14:paraId="216253F7" w14:textId="143A0C9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Avoid IP overlap for hybrid connectivity.</w:t>
      </w:r>
    </w:p>
    <w:p w14:paraId="543BEF97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Platform-Reserved Subnets</w:t>
      </w:r>
    </w:p>
    <w:p w14:paraId="473C90E2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7CB256EE" w14:textId="77777777" w:rsidR="009B7993" w:rsidRPr="009B7993" w:rsidRDefault="009B7993">
      <w:pPr>
        <w:ind w:left="-5"/>
        <w:rPr>
          <w:sz w:val="24"/>
        </w:rPr>
      </w:pPr>
      <w:r w:rsidRPr="009B7993">
        <w:rPr>
          <w:sz w:val="24"/>
        </w:rPr>
        <w:t xml:space="preserve">Certain services require dedicated subnets: Azure Firewall, VPN/ExpressRoute Gateway, Bastion, Application Gateway, and AKS node pools. </w:t>
      </w:r>
    </w:p>
    <w:p w14:paraId="1A634AED" w14:textId="798EF74E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Never place workloads in these subnets.</w:t>
      </w:r>
    </w:p>
    <w:p w14:paraId="6E3E1C1E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Subnet Sizing</w:t>
      </w:r>
    </w:p>
    <w:p w14:paraId="6FA21E5E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5FC9A9AD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Azure reserves 5 IPs per subnet. Use /24 for application and shared services, /27–/26 for gateways, and larger ranges for AKS to support scaling.</w:t>
      </w:r>
    </w:p>
    <w:p w14:paraId="567F3893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Security Boundaries (NSGs)</w:t>
      </w:r>
    </w:p>
    <w:p w14:paraId="2D01AFEE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69AA3A5D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Apply NSGs at the subnet level to define security zones. Use NIC-level NSGs only for exceptions. Always use explicit inbound and outbound rules.</w:t>
      </w:r>
    </w:p>
    <w:p w14:paraId="428DEF41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Routing &amp; Traffic Flow</w:t>
      </w:r>
    </w:p>
    <w:p w14:paraId="5334E965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5A2078EA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Different routing requirements mean different subnets. Apply UDRs per subnet. Use default routes only when intentionally controlling egress.</w:t>
      </w:r>
    </w:p>
    <w:p w14:paraId="2ACB7CDB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Hybrid &amp; DNS Awareness</w:t>
      </w:r>
    </w:p>
    <w:p w14:paraId="5A826AB4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5B819AD9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 xml:space="preserve">Plan for on-prem connectivity, Private Endpoints, and DNS resolution paths early. Many </w:t>
      </w:r>
      <w:proofErr w:type="gramStart"/>
      <w:r w:rsidRPr="009B7993">
        <w:rPr>
          <w:sz w:val="24"/>
        </w:rPr>
        <w:t>hybrid</w:t>
      </w:r>
      <w:proofErr w:type="gramEnd"/>
      <w:r w:rsidRPr="009B7993">
        <w:rPr>
          <w:sz w:val="24"/>
        </w:rPr>
        <w:t xml:space="preserve"> issues stem from subnet design, not DNS configuration.</w:t>
      </w:r>
    </w:p>
    <w:p w14:paraId="161E6701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Isolation &amp; Blast Radius</w:t>
      </w:r>
    </w:p>
    <w:p w14:paraId="50332DDB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2762419E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>Use subnets to limit lateral movement and contain failures. Separate prod/non-prod and isolate sensitive or internet-facing workloads.</w:t>
      </w:r>
    </w:p>
    <w:p w14:paraId="7F7C2356" w14:textId="77777777" w:rsidR="00A93453" w:rsidRPr="009B7993" w:rsidRDefault="009B7993">
      <w:pPr>
        <w:spacing w:after="62" w:line="259" w:lineRule="auto"/>
        <w:ind w:left="-5"/>
        <w:rPr>
          <w:sz w:val="24"/>
        </w:rPr>
      </w:pPr>
      <w:r w:rsidRPr="009B7993">
        <w:rPr>
          <w:sz w:val="24"/>
        </w:rPr>
        <w:t>Naming &amp; Automation</w:t>
      </w:r>
    </w:p>
    <w:p w14:paraId="1614E7E0" w14:textId="77777777" w:rsidR="009B7993" w:rsidRPr="009B7993" w:rsidRDefault="009B7993">
      <w:pPr>
        <w:spacing w:after="62" w:line="259" w:lineRule="auto"/>
        <w:ind w:left="-5"/>
        <w:rPr>
          <w:sz w:val="24"/>
        </w:rPr>
      </w:pPr>
    </w:p>
    <w:p w14:paraId="58648B62" w14:textId="77777777" w:rsidR="00A93453" w:rsidRPr="009B7993" w:rsidRDefault="009B7993">
      <w:pPr>
        <w:ind w:left="-5"/>
        <w:rPr>
          <w:sz w:val="24"/>
        </w:rPr>
      </w:pPr>
      <w:r w:rsidRPr="009B7993">
        <w:rPr>
          <w:sz w:val="24"/>
        </w:rPr>
        <w:t xml:space="preserve">Use predictable, role-based subnet names and manage everything via </w:t>
      </w:r>
      <w:proofErr w:type="spellStart"/>
      <w:r w:rsidRPr="009B7993">
        <w:rPr>
          <w:sz w:val="24"/>
        </w:rPr>
        <w:t>IaC</w:t>
      </w:r>
      <w:proofErr w:type="spellEnd"/>
      <w:r w:rsidRPr="009B7993">
        <w:rPr>
          <w:sz w:val="24"/>
        </w:rPr>
        <w:t xml:space="preserve"> (Terraform). Design must be reproducible, policy-compliant, and automation-friendly.</w:t>
      </w:r>
    </w:p>
    <w:sectPr w:rsidR="00A93453" w:rsidRPr="009B7993">
      <w:pgSz w:w="11906" w:h="16838"/>
      <w:pgMar w:top="1440" w:right="1326" w:bottom="1440" w:left="12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53"/>
    <w:rsid w:val="000F7CCA"/>
    <w:rsid w:val="009B7993"/>
    <w:rsid w:val="00A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CB01"/>
  <w15:docId w15:val="{A1D3CBAB-688B-45E1-B1BE-4390AE9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8" w:line="292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rob richley</cp:lastModifiedBy>
  <cp:revision>2</cp:revision>
  <dcterms:created xsi:type="dcterms:W3CDTF">2025-12-16T23:22:00Z</dcterms:created>
  <dcterms:modified xsi:type="dcterms:W3CDTF">2025-12-16T23:22:00Z</dcterms:modified>
</cp:coreProperties>
</file>